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4C" w:rsidRDefault="00214834">
      <w:pPr>
        <w:pStyle w:val="Norml1"/>
        <w:tabs>
          <w:tab w:val="left" w:pos="6096"/>
        </w:tabs>
        <w:rPr>
          <w:b/>
        </w:rPr>
      </w:pPr>
      <w:bookmarkStart w:id="0" w:name="_GoBack"/>
      <w:bookmarkEnd w:id="0"/>
      <w:r>
        <w:rPr>
          <w:b/>
          <w:sz w:val="48"/>
          <w:szCs w:val="48"/>
        </w:rPr>
        <w:t>Atádi Henili Kft</w:t>
      </w:r>
      <w:r>
        <w:rPr>
          <w:sz w:val="36"/>
          <w:szCs w:val="36"/>
        </w:rPr>
        <w:t xml:space="preserve"> </w:t>
      </w:r>
      <w:r>
        <w:tab/>
      </w:r>
      <w:r>
        <w:rPr>
          <w:b/>
        </w:rPr>
        <w:t>6422 Tompa Szabadság tér 14/2</w:t>
      </w:r>
    </w:p>
    <w:p w:rsidR="00CE094C" w:rsidRDefault="00214834">
      <w:pPr>
        <w:pStyle w:val="Norml1"/>
        <w:tabs>
          <w:tab w:val="left" w:pos="6096"/>
        </w:tabs>
        <w:rPr>
          <w:b/>
        </w:rPr>
      </w:pPr>
      <w:r>
        <w:rPr>
          <w:b/>
        </w:rPr>
        <w:t>Adószám:14296633-2-03</w:t>
      </w:r>
      <w:r>
        <w:rPr>
          <w:b/>
        </w:rPr>
        <w:tab/>
        <w:t>Telefon: +36(30)3499893</w:t>
      </w:r>
    </w:p>
    <w:p w:rsidR="00CE094C" w:rsidRDefault="00214834">
      <w:pPr>
        <w:pStyle w:val="Norml1"/>
        <w:tabs>
          <w:tab w:val="left" w:pos="6096"/>
        </w:tabs>
        <w:ind w:left="708" w:firstLine="708"/>
        <w:rPr>
          <w:b/>
        </w:rPr>
      </w:pPr>
      <w:r>
        <w:rPr>
          <w:b/>
        </w:rPr>
        <w:tab/>
        <w:t xml:space="preserve">Email: </w:t>
      </w:r>
      <w:hyperlink r:id="rId4">
        <w:r>
          <w:rPr>
            <w:b/>
            <w:color w:val="0000FF"/>
            <w:u w:val="single"/>
          </w:rPr>
          <w:t>atadihenili@gmail.com</w:t>
        </w:r>
      </w:hyperlink>
    </w:p>
    <w:p w:rsidR="00CE094C" w:rsidRDefault="00214834">
      <w:pPr>
        <w:pStyle w:val="Norml1"/>
        <w:tabs>
          <w:tab w:val="left" w:pos="6096"/>
        </w:tabs>
        <w:rPr>
          <w:b/>
        </w:rPr>
      </w:pPr>
      <w:r>
        <w:rPr>
          <w:b/>
        </w:rPr>
        <w:tab/>
        <w:t>ENG.SZ.: 99631-1-11/2015</w:t>
      </w:r>
    </w:p>
    <w:p w:rsidR="00CE094C" w:rsidRDefault="00214834">
      <w:pPr>
        <w:pStyle w:val="Norml1"/>
        <w:tabs>
          <w:tab w:val="left" w:pos="6096"/>
        </w:tabs>
        <w:ind w:firstLine="708"/>
        <w:rPr>
          <w:b/>
        </w:rPr>
      </w:pPr>
      <w:r>
        <w:rPr>
          <w:b/>
        </w:rPr>
        <w:tab/>
        <w:t>KÜJ: 102874554</w:t>
      </w:r>
    </w:p>
    <w:p w:rsidR="00CE094C" w:rsidRDefault="00214834">
      <w:pPr>
        <w:pStyle w:val="Norml1"/>
        <w:tabs>
          <w:tab w:val="left" w:pos="6096"/>
        </w:tabs>
        <w:rPr>
          <w:b/>
          <w:sz w:val="72"/>
          <w:szCs w:val="72"/>
        </w:rPr>
      </w:pPr>
      <w:r>
        <w:rPr>
          <w:b/>
        </w:rPr>
        <w:tab/>
        <w:t>KTJ: 101826621</w:t>
      </w:r>
    </w:p>
    <w:p w:rsidR="00CE094C" w:rsidRDefault="00214834">
      <w:pPr>
        <w:pStyle w:val="Norml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Lakosság részére</w:t>
      </w:r>
    </w:p>
    <w:p w:rsidR="00CE094C" w:rsidRDefault="00214834">
      <w:pPr>
        <w:pStyle w:val="Norml1"/>
        <w:spacing w:before="240"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Érvényes: 2018. január 01-től</w:t>
      </w:r>
    </w:p>
    <w:tbl>
      <w:tblPr>
        <w:tblStyle w:val="a"/>
        <w:tblW w:w="92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3685"/>
        <w:gridCol w:w="1985"/>
        <w:gridCol w:w="2017"/>
      </w:tblGrid>
      <w:tr w:rsidR="00CE094C">
        <w:tc>
          <w:tcPr>
            <w:tcW w:w="9213" w:type="dxa"/>
            <w:gridSpan w:val="4"/>
          </w:tcPr>
          <w:p w:rsidR="00CE094C" w:rsidRDefault="00214834">
            <w:pPr>
              <w:pStyle w:val="Norm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Építési és bontási hulladékok kezelésére történő telephelyi elhelyezése</w:t>
            </w:r>
          </w:p>
        </w:tc>
      </w:tr>
      <w:tr w:rsidR="00CE094C">
        <w:tc>
          <w:tcPr>
            <w:tcW w:w="1526" w:type="dxa"/>
            <w:vMerge w:val="restart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EWC</w:t>
            </w:r>
          </w:p>
        </w:tc>
        <w:tc>
          <w:tcPr>
            <w:tcW w:w="3685" w:type="dxa"/>
            <w:vMerge w:val="restart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4002" w:type="dxa"/>
            <w:gridSpan w:val="2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Elhelyezési ár</w:t>
            </w:r>
          </w:p>
        </w:tc>
      </w:tr>
      <w:tr w:rsidR="00CE094C">
        <w:tc>
          <w:tcPr>
            <w:tcW w:w="1526" w:type="dxa"/>
            <w:vMerge/>
            <w:vAlign w:val="center"/>
          </w:tcPr>
          <w:p w:rsidR="00CE094C" w:rsidRDefault="00CE094C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CE094C" w:rsidRDefault="00CE094C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Nettó Ft/tonna</w:t>
            </w:r>
          </w:p>
        </w:tc>
        <w:tc>
          <w:tcPr>
            <w:tcW w:w="2017" w:type="dxa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Bruttó Ft/tonna</w:t>
            </w:r>
          </w:p>
        </w:tc>
      </w:tr>
      <w:tr w:rsidR="00CE094C">
        <w:trPr>
          <w:trHeight w:val="480"/>
        </w:trPr>
        <w:tc>
          <w:tcPr>
            <w:tcW w:w="1526" w:type="dxa"/>
            <w:vMerge w:val="restart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170101</w:t>
            </w:r>
          </w:p>
        </w:tc>
        <w:tc>
          <w:tcPr>
            <w:tcW w:w="3685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rPr>
                <w:b/>
              </w:rPr>
              <w:t>Beton</w:t>
            </w:r>
            <w:r>
              <w:t xml:space="preserve"> 50x50 cm alatti méret</w:t>
            </w:r>
          </w:p>
        </w:tc>
        <w:tc>
          <w:tcPr>
            <w:tcW w:w="1985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t>Díjmentes</w:t>
            </w:r>
          </w:p>
        </w:tc>
        <w:tc>
          <w:tcPr>
            <w:tcW w:w="2017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t>Díjmentes</w:t>
            </w:r>
          </w:p>
        </w:tc>
      </w:tr>
      <w:tr w:rsidR="00CE094C">
        <w:trPr>
          <w:trHeight w:val="460"/>
        </w:trPr>
        <w:tc>
          <w:tcPr>
            <w:tcW w:w="1526" w:type="dxa"/>
            <w:vMerge/>
            <w:vAlign w:val="center"/>
          </w:tcPr>
          <w:p w:rsidR="00CE094C" w:rsidRDefault="00CE094C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5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rPr>
                <w:b/>
              </w:rPr>
              <w:t>Beton</w:t>
            </w:r>
            <w:r>
              <w:t xml:space="preserve"> 50x50 cm feletti méret</w:t>
            </w:r>
          </w:p>
        </w:tc>
        <w:tc>
          <w:tcPr>
            <w:tcW w:w="1985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t>Díjmentes</w:t>
            </w:r>
          </w:p>
        </w:tc>
        <w:tc>
          <w:tcPr>
            <w:tcW w:w="2017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t>Díjmentes</w:t>
            </w:r>
          </w:p>
        </w:tc>
      </w:tr>
      <w:tr w:rsidR="00CE094C">
        <w:trPr>
          <w:trHeight w:val="340"/>
        </w:trPr>
        <w:tc>
          <w:tcPr>
            <w:tcW w:w="1526" w:type="dxa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170102</w:t>
            </w:r>
          </w:p>
        </w:tc>
        <w:tc>
          <w:tcPr>
            <w:tcW w:w="3685" w:type="dxa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Tégla</w:t>
            </w:r>
          </w:p>
        </w:tc>
        <w:tc>
          <w:tcPr>
            <w:tcW w:w="1985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t>500.-</w:t>
            </w:r>
          </w:p>
        </w:tc>
        <w:tc>
          <w:tcPr>
            <w:tcW w:w="2017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t>635.-</w:t>
            </w:r>
          </w:p>
        </w:tc>
      </w:tr>
      <w:tr w:rsidR="00CE094C">
        <w:trPr>
          <w:trHeight w:val="400"/>
        </w:trPr>
        <w:tc>
          <w:tcPr>
            <w:tcW w:w="1526" w:type="dxa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170103</w:t>
            </w:r>
          </w:p>
        </w:tc>
        <w:tc>
          <w:tcPr>
            <w:tcW w:w="3685" w:type="dxa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Cserép, kerámia</w:t>
            </w:r>
          </w:p>
        </w:tc>
        <w:tc>
          <w:tcPr>
            <w:tcW w:w="1985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t>500.-</w:t>
            </w:r>
          </w:p>
        </w:tc>
        <w:tc>
          <w:tcPr>
            <w:tcW w:w="2017" w:type="dxa"/>
            <w:vAlign w:val="center"/>
          </w:tcPr>
          <w:p w:rsidR="00CE094C" w:rsidRDefault="00214834">
            <w:pPr>
              <w:pStyle w:val="Norml1"/>
              <w:jc w:val="center"/>
            </w:pPr>
            <w:r>
              <w:t>635.-</w:t>
            </w:r>
          </w:p>
        </w:tc>
      </w:tr>
      <w:tr w:rsidR="00CE094C">
        <w:tc>
          <w:tcPr>
            <w:tcW w:w="1526" w:type="dxa"/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170107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Beton, tégla, cserép, kerámia keveréke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94C" w:rsidRDefault="00214834">
            <w:pPr>
              <w:pStyle w:val="Norml1"/>
              <w:jc w:val="center"/>
            </w:pPr>
            <w:r>
              <w:t>500.-</w:t>
            </w:r>
          </w:p>
        </w:tc>
        <w:tc>
          <w:tcPr>
            <w:tcW w:w="2017" w:type="dxa"/>
            <w:tcBorders>
              <w:left w:val="single" w:sz="4" w:space="0" w:color="000000"/>
            </w:tcBorders>
            <w:vAlign w:val="center"/>
          </w:tcPr>
          <w:p w:rsidR="00CE094C" w:rsidRDefault="00214834">
            <w:pPr>
              <w:pStyle w:val="Norml1"/>
              <w:jc w:val="center"/>
            </w:pPr>
            <w:r>
              <w:t>635.-</w:t>
            </w:r>
          </w:p>
        </w:tc>
      </w:tr>
      <w:tr w:rsidR="00CE094C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170202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Bontásból származó üveg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</w:pPr>
            <w:r>
              <w:t>2000.-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</w:pPr>
            <w:r>
              <w:t>2540.-</w:t>
            </w:r>
          </w:p>
        </w:tc>
      </w:tr>
      <w:tr w:rsidR="00CE094C">
        <w:trPr>
          <w:trHeight w:val="3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170904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Kevert építkezési és bontási hulladék, idegenanyag tartalom nélkül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</w:pPr>
            <w:r>
              <w:t>700.-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</w:pPr>
            <w:r>
              <w:t>889.-</w:t>
            </w:r>
          </w:p>
        </w:tc>
      </w:tr>
      <w:tr w:rsidR="00CE094C">
        <w:trPr>
          <w:trHeight w:val="5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170504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E094C" w:rsidRDefault="00214834">
            <w:pPr>
              <w:pStyle w:val="Norml1"/>
              <w:jc w:val="center"/>
              <w:rPr>
                <w:b/>
              </w:rPr>
            </w:pPr>
            <w:r>
              <w:rPr>
                <w:b/>
              </w:rPr>
              <w:t>Földek és kövek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94C" w:rsidRDefault="00214834">
            <w:pPr>
              <w:pStyle w:val="Norml1"/>
              <w:jc w:val="center"/>
            </w:pPr>
            <w:r>
              <w:t>500.-</w:t>
            </w:r>
          </w:p>
        </w:tc>
        <w:tc>
          <w:tcPr>
            <w:tcW w:w="2017" w:type="dxa"/>
            <w:tcBorders>
              <w:left w:val="single" w:sz="4" w:space="0" w:color="000000"/>
            </w:tcBorders>
            <w:vAlign w:val="center"/>
          </w:tcPr>
          <w:p w:rsidR="00CE094C" w:rsidRDefault="00214834">
            <w:pPr>
              <w:pStyle w:val="Norml1"/>
              <w:jc w:val="center"/>
            </w:pPr>
            <w:r>
              <w:t>635.-</w:t>
            </w:r>
          </w:p>
        </w:tc>
      </w:tr>
    </w:tbl>
    <w:p w:rsidR="00CE094C" w:rsidRDefault="00214834">
      <w:pPr>
        <w:pStyle w:val="Norml1"/>
        <w:jc w:val="both"/>
      </w:pPr>
      <w:r>
        <w:t xml:space="preserve">Az áraink forintban </w:t>
      </w:r>
      <w:r w:rsidR="005555A0">
        <w:t xml:space="preserve">értendők és az </w:t>
      </w:r>
      <w:proofErr w:type="spellStart"/>
      <w:r w:rsidR="005555A0">
        <w:t>Atádi</w:t>
      </w:r>
      <w:proofErr w:type="spellEnd"/>
      <w:r w:rsidR="005555A0">
        <w:t xml:space="preserve"> </w:t>
      </w:r>
      <w:proofErr w:type="spellStart"/>
      <w:r w:rsidR="005555A0">
        <w:t>Henili</w:t>
      </w:r>
      <w:proofErr w:type="spellEnd"/>
      <w:r w:rsidR="005555A0">
        <w:t xml:space="preserve"> Kft. </w:t>
      </w:r>
      <w:r>
        <w:t xml:space="preserve">soltvadkerti 0448/17 </w:t>
      </w:r>
      <w:proofErr w:type="spellStart"/>
      <w:r>
        <w:t>hrsz</w:t>
      </w:r>
      <w:proofErr w:type="spellEnd"/>
      <w:r>
        <w:t>-ú telephelyén törté</w:t>
      </w:r>
      <w:r w:rsidR="005555A0">
        <w:t>nő elhelyezés esetére vonatkoznak</w:t>
      </w:r>
      <w:r>
        <w:t>.</w:t>
      </w:r>
    </w:p>
    <w:p w:rsidR="00CE094C" w:rsidRDefault="00214834">
      <w:pPr>
        <w:pStyle w:val="Norml1"/>
        <w:jc w:val="both"/>
      </w:pPr>
      <w:r>
        <w:t xml:space="preserve">*Az idegenanyag tartalom alatt az alkalmazott technológiával nem kezelhető, nem ásványi eredetű hulladékok értendők (pl.: fólia, cementes zsák, fém doboz, </w:t>
      </w:r>
      <w:proofErr w:type="gramStart"/>
      <w:r>
        <w:t>kommunális</w:t>
      </w:r>
      <w:proofErr w:type="gramEnd"/>
      <w:r>
        <w:t xml:space="preserve"> jel</w:t>
      </w:r>
      <w:r w:rsidR="005555A0">
        <w:t xml:space="preserve">legű hulladékok, textil, stb.). A </w:t>
      </w:r>
      <w:r>
        <w:t>beszállított hulladékok veszélyes anyagot nem tartalmazhat</w:t>
      </w:r>
      <w:r w:rsidR="005555A0">
        <w:t>nak</w:t>
      </w:r>
      <w:r>
        <w:t>! A beszállításról mérlegjegy kés</w:t>
      </w:r>
      <w:r w:rsidR="005555A0">
        <w:t xml:space="preserve">zül. A számlázás alapját a KFT. </w:t>
      </w:r>
      <w:proofErr w:type="gramStart"/>
      <w:r>
        <w:t>teleph</w:t>
      </w:r>
      <w:r w:rsidR="005555A0">
        <w:t>elyén</w:t>
      </w:r>
      <w:proofErr w:type="gramEnd"/>
      <w:r w:rsidR="005555A0">
        <w:t xml:space="preserve"> </w:t>
      </w:r>
      <w:r>
        <w:t>lévő hitelesített hídmérlegen mér</w:t>
      </w:r>
      <w:r w:rsidR="005555A0">
        <w:t>t tömegadatok és az elhelyezési</w:t>
      </w:r>
      <w:r>
        <w:t>, kezelési egységárak képzik.</w:t>
      </w:r>
    </w:p>
    <w:p w:rsidR="00CE094C" w:rsidRDefault="00214834">
      <w:pPr>
        <w:pStyle w:val="Norml1"/>
        <w:jc w:val="both"/>
      </w:pPr>
      <w:r>
        <w:rPr>
          <w:b/>
        </w:rPr>
        <w:t>Elvi befogadó nyilatkozat kiadás</w:t>
      </w:r>
      <w:r>
        <w:t xml:space="preserve"> „az építési és bontási hulladékok kezelésének részletes szabályairól” szóló 45/2004 (VII.26.) BM-KvVm együttes rendelet alapján </w:t>
      </w:r>
      <w:r>
        <w:rPr>
          <w:b/>
        </w:rPr>
        <w:t>eng</w:t>
      </w:r>
      <w:r w:rsidR="005555A0">
        <w:rPr>
          <w:b/>
        </w:rPr>
        <w:t xml:space="preserve">edélyezéshez 5.000 Ft (bruttó) </w:t>
      </w:r>
      <w:r>
        <w:rPr>
          <w:b/>
        </w:rPr>
        <w:t>előszerződéssel térítésmentes.</w:t>
      </w:r>
    </w:p>
    <w:p w:rsidR="00CE094C" w:rsidRDefault="00214834">
      <w:pPr>
        <w:pStyle w:val="Norml1"/>
        <w:jc w:val="both"/>
      </w:pPr>
      <w:r>
        <w:rPr>
          <w:b/>
        </w:rPr>
        <w:t>Konténer kihelyezése igényelhető</w:t>
      </w:r>
      <w:r>
        <w:t xml:space="preserve"> a 06-30/3499893 vagy 06-30/2152322 telefonszámon.</w:t>
      </w:r>
    </w:p>
    <w:p w:rsidR="00CE094C" w:rsidRDefault="00214834">
      <w:pPr>
        <w:pStyle w:val="Norml1"/>
        <w:jc w:val="both"/>
        <w:rPr>
          <w:b/>
        </w:rPr>
      </w:pPr>
      <w:r>
        <w:rPr>
          <w:b/>
        </w:rPr>
        <w:t>Nyitva tartás: Hétfő – Péntek 8 – 16 h</w:t>
      </w:r>
    </w:p>
    <w:p w:rsidR="00CE094C" w:rsidRDefault="00214834">
      <w:pPr>
        <w:pStyle w:val="Norml1"/>
        <w:jc w:val="both"/>
      </w:pPr>
      <w:r>
        <w:t xml:space="preserve">A hulladékok </w:t>
      </w:r>
      <w:r>
        <w:rPr>
          <w:b/>
        </w:rPr>
        <w:t>kezelésére vonatkozó engedélyt</w:t>
      </w:r>
      <w:r>
        <w:t xml:space="preserve"> a Csongrád Megyei Kormányhi</w:t>
      </w:r>
      <w:r w:rsidR="00263926">
        <w:t>vatal 99631-1-11/2015 számon ad</w:t>
      </w:r>
      <w:r>
        <w:t>ta ki.</w:t>
      </w:r>
    </w:p>
    <w:p w:rsidR="00CE094C" w:rsidRDefault="00CE094C">
      <w:pPr>
        <w:pStyle w:val="Norml1"/>
        <w:jc w:val="center"/>
      </w:pPr>
    </w:p>
    <w:p w:rsidR="00CE094C" w:rsidRDefault="00CE094C">
      <w:pPr>
        <w:pStyle w:val="Norml1"/>
        <w:jc w:val="center"/>
      </w:pPr>
    </w:p>
    <w:p w:rsidR="00CE094C" w:rsidRDefault="00CE094C">
      <w:pPr>
        <w:pStyle w:val="Norml1"/>
        <w:jc w:val="center"/>
      </w:pPr>
    </w:p>
    <w:p w:rsidR="00CE094C" w:rsidRDefault="00214834">
      <w:pPr>
        <w:pStyle w:val="Norml1"/>
        <w:ind w:left="4536"/>
        <w:jc w:val="center"/>
      </w:pPr>
      <w:r>
        <w:t>Kozla László</w:t>
      </w:r>
    </w:p>
    <w:p w:rsidR="00CE094C" w:rsidRDefault="00214834">
      <w:pPr>
        <w:pStyle w:val="Norml1"/>
        <w:ind w:left="4536"/>
        <w:jc w:val="center"/>
      </w:pPr>
      <w:r>
        <w:t>ügyvezető</w:t>
      </w:r>
    </w:p>
    <w:sectPr w:rsidR="00CE094C" w:rsidSect="00CE094C">
      <w:pgSz w:w="11906" w:h="16838"/>
      <w:pgMar w:top="993" w:right="1274" w:bottom="85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4C"/>
    <w:rsid w:val="001837F8"/>
    <w:rsid w:val="00214834"/>
    <w:rsid w:val="00263926"/>
    <w:rsid w:val="005555A0"/>
    <w:rsid w:val="00CE094C"/>
    <w:rsid w:val="00D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A5D17-FC7E-4042-9159-16E77148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0863"/>
  </w:style>
  <w:style w:type="paragraph" w:styleId="Cmsor1">
    <w:name w:val="heading 1"/>
    <w:basedOn w:val="Norml1"/>
    <w:next w:val="Norml1"/>
    <w:rsid w:val="00CE094C"/>
    <w:pPr>
      <w:keepNext/>
      <w:spacing w:before="240" w:after="60"/>
      <w:ind w:left="720" w:hanging="360"/>
      <w:jc w:val="center"/>
      <w:outlineLvl w:val="0"/>
    </w:pPr>
    <w:rPr>
      <w:b/>
      <w:smallCaps/>
    </w:rPr>
  </w:style>
  <w:style w:type="paragraph" w:styleId="Cmsor2">
    <w:name w:val="heading 2"/>
    <w:basedOn w:val="Norml1"/>
    <w:next w:val="Norml1"/>
    <w:rsid w:val="00CE094C"/>
    <w:pPr>
      <w:keepNext/>
      <w:spacing w:before="240" w:after="60"/>
      <w:outlineLvl w:val="1"/>
    </w:pPr>
    <w:rPr>
      <w:b/>
    </w:rPr>
  </w:style>
  <w:style w:type="paragraph" w:styleId="Cmsor3">
    <w:name w:val="heading 3"/>
    <w:basedOn w:val="Norml1"/>
    <w:next w:val="Norml1"/>
    <w:rsid w:val="00CE09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CE094C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1"/>
    <w:next w:val="Norml1"/>
    <w:rsid w:val="00CE09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1"/>
    <w:next w:val="Norml1"/>
    <w:rsid w:val="00CE09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CE094C"/>
  </w:style>
  <w:style w:type="table" w:customStyle="1" w:styleId="TableNormal">
    <w:name w:val="Table Normal"/>
    <w:rsid w:val="00CE09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CE094C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1"/>
    <w:next w:val="Norml1"/>
    <w:rsid w:val="00CE09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094C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adiheni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Kecsoo</cp:lastModifiedBy>
  <cp:revision>2</cp:revision>
  <dcterms:created xsi:type="dcterms:W3CDTF">2018-07-11T12:04:00Z</dcterms:created>
  <dcterms:modified xsi:type="dcterms:W3CDTF">2018-07-11T12:04:00Z</dcterms:modified>
</cp:coreProperties>
</file>